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4111"/>
        <w:tblGridChange w:id="0">
          <w:tblGrid>
            <w:gridCol w:w="5211"/>
            <w:gridCol w:w="4111"/>
          </w:tblGrid>
        </w:tblGridChange>
      </w:tblGrid>
      <w:tr>
        <w:trPr>
          <w:cantSplit w:val="0"/>
          <w:trHeight w:val="21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-675"/>
              </w:tabs>
              <w:spacing w:line="288" w:lineRule="auto"/>
              <w:ind w:left="-39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управления научных 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-675"/>
              </w:tabs>
              <w:spacing w:line="288" w:lineRule="auto"/>
              <w:ind w:left="-39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исследований ФГБОУ ВО «СамГТУ»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_______________ А.Н.Давыдов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«___»____________ 20___г.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(наименование материалов, подлежащих экспертизе)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 ________________________________________________________________________,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утвержденные приказом ректора ФГБОУ ВО «СамГТУ»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1/477 от 05.07.2022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(ФИО автора/ов)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 г. № 036, эксперт(ы) установил(и):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находятся в компетенции ФГБОУ ВО «СамГТУ».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2.Сведения, содержащиеся в рассматриваемых материалах не подпадают под действие Перечня сведений, составляющих государственную тайну (статья 5 Закона Российской Федерации «О государственной тайне», не относятся к Перечню сведений, отнесенных к государственной тайне, утвержденному Указом Президента Российской Федерации от 30 ноября 1995 г № 1203 и Перечнем сведений конфиденциального характера, утвержденным Указом Президента Российской Федерации от 06.03.1997г №188, не подлежат засекречиванию и не содержат информацию ограниченного доступа. 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На публикацию материалов не требуется получить разрешение Минобрнауки России или других министерств и ведомств и данные материалы могут быть открыто опубликованы в 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 xml:space="preserve">         (наименование издания, сайта)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Руководитель-эксперт:</w:t>
      </w:r>
    </w:p>
    <w:tbl>
      <w:tblPr>
        <w:tblStyle w:val="Table2"/>
        <w:tblW w:w="6824.0" w:type="dxa"/>
        <w:jc w:val="center"/>
        <w:tblLayout w:type="fixed"/>
        <w:tblLook w:val="04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tbl>
      <w:tblPr>
        <w:tblStyle w:val="Table3"/>
        <w:tblW w:w="6824.0" w:type="dxa"/>
        <w:jc w:val="center"/>
        <w:tblLayout w:type="fixed"/>
        <w:tblLook w:val="04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РСП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Принято 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дело РСП 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(дата)</w:t>
        <w:tab/>
        <w:tab/>
        <w:t xml:space="preserve">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